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1AA2" w:rsidRDefault="008E1AA2">
      <w:pPr>
        <w:pStyle w:val="Standard"/>
      </w:pPr>
    </w:p>
    <w:p w:rsidR="008E1AA2" w:rsidRDefault="00000000">
      <w:pPr>
        <w:pStyle w:val="Titre1"/>
      </w:pPr>
      <w:r>
        <w:t>Amendement à délibération N° D</w:t>
      </w:r>
      <w:r w:rsidR="00D6202E">
        <w:t>23</w:t>
      </w:r>
      <w:r>
        <w:t>/202</w:t>
      </w:r>
      <w:r w:rsidR="00D6202E">
        <w:t>4</w:t>
      </w:r>
    </w:p>
    <w:p w:rsidR="008E1AA2" w:rsidRDefault="008E1AA2">
      <w:pPr>
        <w:pStyle w:val="Standard"/>
      </w:pPr>
    </w:p>
    <w:tbl>
      <w:tblPr>
        <w:tblW w:w="9062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000000">
            <w:pPr>
              <w:pStyle w:val="Standard"/>
              <w:spacing w:after="0" w:line="240" w:lineRule="auto"/>
              <w:rPr>
                <w:smallCaps/>
              </w:rPr>
            </w:pPr>
            <w:r>
              <w:rPr>
                <w:smallCaps/>
              </w:rPr>
              <w:t>Objet concerné par l’amendement</w:t>
            </w: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000000">
            <w:pPr>
              <w:pStyle w:val="Standard"/>
              <w:spacing w:after="0" w:line="240" w:lineRule="auto"/>
            </w:pPr>
            <w:r>
              <w:t>Tarification de la cantine scolaire</w:t>
            </w: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8E1AA2">
            <w:pPr>
              <w:pStyle w:val="Standard"/>
              <w:spacing w:after="0" w:line="240" w:lineRule="auto"/>
            </w:pP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000000">
            <w:pPr>
              <w:pStyle w:val="Standard"/>
              <w:spacing w:after="0" w:line="240" w:lineRule="auto"/>
              <w:rPr>
                <w:smallCaps/>
              </w:rPr>
            </w:pPr>
            <w:r>
              <w:rPr>
                <w:smallCaps/>
              </w:rPr>
              <w:t>Développement de l’amendement</w:t>
            </w: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000000">
            <w:pPr>
              <w:pStyle w:val="Standard"/>
              <w:spacing w:after="57" w:line="240" w:lineRule="auto"/>
            </w:pPr>
            <w:r>
              <w:t>La cantine est à la fois un service public indispensable aux familles, notamment lorsque les parents exercent des activités professionnelles éloignées du domicile, mais également un espace privilégié d’inclusion sociale pour les enfants.</w:t>
            </w:r>
          </w:p>
          <w:p w:rsidR="008E1AA2" w:rsidRDefault="00000000">
            <w:pPr>
              <w:pStyle w:val="Standard"/>
              <w:spacing w:after="57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Or les enfants des familles défavorisées sont deux fois plus nombreux à ne pas manger à la cantine que les enfants issus des familles favorisées.</w:t>
            </w:r>
          </w:p>
          <w:p w:rsidR="008E1AA2" w:rsidRDefault="00000000">
            <w:pPr>
              <w:pStyle w:val="Standard"/>
              <w:spacing w:after="57" w:line="240" w:lineRule="auto"/>
            </w:pPr>
            <w:r>
              <w:t>Mettre en place une tarification sociale des cantines, c’est donner à chaque enfant les moyens de la réussite.</w:t>
            </w:r>
          </w:p>
          <w:p w:rsidR="008E1AA2" w:rsidRDefault="00000000">
            <w:pPr>
              <w:pStyle w:val="Standard"/>
              <w:spacing w:after="57" w:line="240" w:lineRule="auto"/>
            </w:pPr>
            <w:r>
              <w:t xml:space="preserve">Nous réitérons la demande </w:t>
            </w:r>
            <w:r w:rsidR="00D6202E">
              <w:t xml:space="preserve">de mettre en place </w:t>
            </w:r>
            <w:r>
              <w:t>un tarif social pour la cantine scolaire et la garderie. Cette démarche est appuyée par l’état avec une aide financière. Je cite le gouvernement :</w:t>
            </w:r>
            <w:r w:rsidR="00D6202E">
              <w:t xml:space="preserve"> « L’objectif</w:t>
            </w:r>
            <w:r>
              <w:t xml:space="preserve"> poursuivi est de permettre à tous les enfants issus de familles modestes des écoles du 1er degré d'avoir accès à un repas pour 1€ maximum.</w:t>
            </w:r>
          </w:p>
          <w:p w:rsidR="008E1AA2" w:rsidRDefault="00000000">
            <w:pPr>
              <w:pStyle w:val="Standard"/>
              <w:spacing w:after="57" w:line="240" w:lineRule="auto"/>
            </w:pPr>
            <w:r>
              <w:t xml:space="preserve">Cette procédure est fortement accompagnée dans sa mise en place par la Caisse d’Allocation familiale. Il a rappelé que 45 % des communes de plus de 2000 </w:t>
            </w:r>
            <w:r w:rsidR="00D6202E">
              <w:t>habitants ont</w:t>
            </w:r>
            <w:r>
              <w:t xml:space="preserve"> déjà mis en place une tarification sociale, 39 % des communes éligibles ne connaissent pas la mesure et 76 % qui la connaissent en ont une bonne image.</w:t>
            </w:r>
          </w:p>
          <w:p w:rsidR="008E1AA2" w:rsidRDefault="00000000">
            <w:pPr>
              <w:pStyle w:val="Standard"/>
              <w:spacing w:after="57" w:line="240" w:lineRule="auto"/>
            </w:pPr>
            <w:r>
              <w:t>Plusieurs avantages ont été cités :</w:t>
            </w:r>
          </w:p>
          <w:p w:rsidR="008E1AA2" w:rsidRDefault="00000000">
            <w:pPr>
              <w:pStyle w:val="Standard"/>
              <w:numPr>
                <w:ilvl w:val="0"/>
                <w:numId w:val="4"/>
              </w:numPr>
              <w:spacing w:after="57" w:line="240" w:lineRule="auto"/>
            </w:pPr>
            <w:r>
              <w:t>La mesure permet l’accès de tous à la cantine, en offrant à tous les élèves de profiter de ce moment créateur de lien social.</w:t>
            </w:r>
          </w:p>
          <w:p w:rsidR="008E1AA2" w:rsidRDefault="00000000">
            <w:pPr>
              <w:pStyle w:val="Standard"/>
              <w:numPr>
                <w:ilvl w:val="0"/>
                <w:numId w:val="4"/>
              </w:numPr>
              <w:spacing w:after="57" w:line="240" w:lineRule="auto"/>
            </w:pPr>
            <w:r>
              <w:t>Elle redonne du pouvoir d’achat aux familles modestes.</w:t>
            </w:r>
          </w:p>
          <w:p w:rsidR="008E1AA2" w:rsidRDefault="00000000">
            <w:pPr>
              <w:pStyle w:val="Standard"/>
              <w:numPr>
                <w:ilvl w:val="0"/>
                <w:numId w:val="4"/>
              </w:numPr>
              <w:spacing w:after="57" w:line="240" w:lineRule="auto"/>
            </w:pPr>
            <w:r>
              <w:t>Elle apporte des bénéfices nutritionnels en permettant aux enfants de manger équilibré, avec des produits locaux et bios.</w:t>
            </w:r>
          </w:p>
          <w:p w:rsidR="008E1AA2" w:rsidRDefault="00000000">
            <w:pPr>
              <w:pStyle w:val="Standard"/>
              <w:numPr>
                <w:ilvl w:val="0"/>
                <w:numId w:val="4"/>
              </w:numPr>
              <w:spacing w:after="57" w:line="240" w:lineRule="auto"/>
            </w:pPr>
            <w:r>
              <w:t>L’aide accrue de l’état permet de baisser les tarifs pour l’ensemble des élèves.</w:t>
            </w:r>
          </w:p>
          <w:p w:rsidR="008E1AA2" w:rsidRDefault="008E1AA2">
            <w:pPr>
              <w:pStyle w:val="Standard"/>
              <w:spacing w:after="57" w:line="240" w:lineRule="auto"/>
            </w:pP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8E1AA2">
            <w:pPr>
              <w:pStyle w:val="Standard"/>
              <w:spacing w:after="0" w:line="240" w:lineRule="auto"/>
            </w:pP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000000">
            <w:pPr>
              <w:pStyle w:val="Standard"/>
              <w:spacing w:after="0" w:line="240" w:lineRule="auto"/>
              <w:rPr>
                <w:smallCaps/>
              </w:rPr>
            </w:pPr>
            <w:r>
              <w:rPr>
                <w:smallCaps/>
              </w:rPr>
              <w:t>Amendement</w:t>
            </w: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000000">
            <w:pPr>
              <w:pStyle w:val="Standard"/>
              <w:spacing w:after="0" w:line="240" w:lineRule="auto"/>
            </w:pPr>
            <w:r>
              <w:t xml:space="preserve">Nous </w:t>
            </w:r>
            <w:r w:rsidR="00D6202E">
              <w:t>avons</w:t>
            </w:r>
            <w:r>
              <w:t xml:space="preserve"> l’honneur, au vu de ce qui précède, de soumettre au Conseil municipal l’amendement suivant :</w:t>
            </w:r>
          </w:p>
          <w:p w:rsidR="008E1AA2" w:rsidRDefault="00000000">
            <w:pPr>
              <w:pStyle w:val="Standard"/>
              <w:spacing w:after="0" w:line="240" w:lineRule="auto"/>
            </w:pPr>
            <w:r>
              <w:t xml:space="preserve">Invité à se prononcer et après en avoir délibéré, le conseil municipal vote </w:t>
            </w:r>
            <w:r w:rsidR="00D6202E">
              <w:t>la mise en place</w:t>
            </w:r>
            <w:r>
              <w:t xml:space="preserve"> d’une tarification sociale de la cantine scolaire dans le cadre de la campagne</w:t>
            </w:r>
            <w:proofErr w:type="gramStart"/>
            <w:r>
              <w:t xml:space="preserve"> «La</w:t>
            </w:r>
            <w:proofErr w:type="gramEnd"/>
            <w:r>
              <w:t xml:space="preserve"> cantine à 1 €»  pour la rentrée 202</w:t>
            </w:r>
            <w:r w:rsidR="00D6202E">
              <w:t>4.</w:t>
            </w: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8E1AA2">
            <w:pPr>
              <w:pStyle w:val="Standard"/>
              <w:spacing w:after="0" w:line="240" w:lineRule="auto"/>
            </w:pP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000000">
            <w:pPr>
              <w:pStyle w:val="Standard"/>
              <w:spacing w:after="0" w:line="240" w:lineRule="auto"/>
              <w:rPr>
                <w:smallCaps/>
              </w:rPr>
            </w:pPr>
            <w:r>
              <w:rPr>
                <w:smallCaps/>
              </w:rPr>
              <w:t>Dépôt (signature)</w:t>
            </w:r>
          </w:p>
        </w:tc>
      </w:tr>
      <w:tr w:rsidR="008E1AA2">
        <w:tblPrEx>
          <w:tblCellMar>
            <w:top w:w="0" w:type="dxa"/>
            <w:bottom w:w="0" w:type="dxa"/>
          </w:tblCellMar>
        </w:tblPrEx>
        <w:tc>
          <w:tcPr>
            <w:tcW w:w="9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AA2" w:rsidRDefault="008E1AA2">
            <w:pPr>
              <w:pStyle w:val="Standard"/>
              <w:spacing w:after="0" w:line="240" w:lineRule="auto"/>
            </w:pPr>
          </w:p>
          <w:p w:rsidR="008E1AA2" w:rsidRDefault="008E1AA2">
            <w:pPr>
              <w:pStyle w:val="Standard"/>
              <w:spacing w:after="0" w:line="240" w:lineRule="auto"/>
            </w:pPr>
          </w:p>
        </w:tc>
      </w:tr>
    </w:tbl>
    <w:p w:rsidR="008E1AA2" w:rsidRDefault="008E1AA2">
      <w:pPr>
        <w:pStyle w:val="Standard"/>
      </w:pPr>
    </w:p>
    <w:sectPr w:rsidR="008E1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6A2E" w:rsidRDefault="00186A2E">
      <w:r>
        <w:separator/>
      </w:r>
    </w:p>
  </w:endnote>
  <w:endnote w:type="continuationSeparator" w:id="0">
    <w:p w:rsidR="00186A2E" w:rsidRDefault="0018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panose1 w:val="020B0604020202020204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02E" w:rsidRDefault="00D620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>
    <w:pPr>
      <w:pStyle w:val="Pieddepage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02E" w:rsidRDefault="00D620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6A2E" w:rsidRDefault="00186A2E">
      <w:r>
        <w:rPr>
          <w:color w:val="000000"/>
        </w:rPr>
        <w:separator/>
      </w:r>
    </w:p>
  </w:footnote>
  <w:footnote w:type="continuationSeparator" w:id="0">
    <w:p w:rsidR="00186A2E" w:rsidRDefault="00186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02E" w:rsidRDefault="00D620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02E" w:rsidRDefault="00000000" w:rsidP="00D6202E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313560</wp:posOffset>
          </wp:positionH>
          <wp:positionV relativeFrom="paragraph">
            <wp:posOffset>-149760</wp:posOffset>
          </wp:positionV>
          <wp:extent cx="465480" cy="452880"/>
          <wp:effectExtent l="0" t="0" r="4420" b="4320"/>
          <wp:wrapSquare wrapText="bothSides"/>
          <wp:docPr id="1226896581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5480" cy="452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Conseil municipal de Mazères-Lezons</w:t>
    </w:r>
    <w:r w:rsidR="00D6202E">
      <w:t xml:space="preserve"> </w:t>
    </w:r>
    <w:r>
      <w:t xml:space="preserve">du </w:t>
    </w:r>
    <w:r w:rsidR="00D6202E">
      <w:t>24</w:t>
    </w:r>
    <w:r>
      <w:t xml:space="preserve"> jui</w:t>
    </w:r>
    <w:r w:rsidR="00D6202E">
      <w:t>n</w:t>
    </w:r>
    <w:r>
      <w:t xml:space="preserve"> 202</w:t>
    </w:r>
    <w:r w:rsidR="00D6202E">
      <w:t>4</w:t>
    </w:r>
  </w:p>
  <w:p w:rsidR="00000000" w:rsidRDefault="00000000" w:rsidP="00297736">
    <w:pPr>
      <w:pStyle w:val="En-tte"/>
    </w:pPr>
  </w:p>
  <w:p w:rsidR="00D6202E" w:rsidRDefault="00000000" w:rsidP="00D6202E">
    <w:pPr>
      <w:pStyle w:val="En-tte"/>
    </w:pPr>
    <w:r>
      <w:tab/>
    </w:r>
  </w:p>
  <w:p w:rsidR="00000000" w:rsidRDefault="00D6202E" w:rsidP="00D6202E">
    <w:pPr>
      <w:pStyle w:val="En-tte"/>
      <w:jc w:val="center"/>
    </w:pPr>
    <w:r>
      <w:t>Groupe Citoyen</w:t>
    </w:r>
    <w:r w:rsidR="00000000">
      <w:t xml:space="preserve"> écologiste et solidaire</w:t>
    </w:r>
  </w:p>
  <w:p w:rsidR="00000000" w:rsidRDefault="00000000">
    <w:pPr>
      <w:pStyle w:val="En-tte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02E" w:rsidRDefault="00D620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6AC8"/>
    <w:multiLevelType w:val="multilevel"/>
    <w:tmpl w:val="956826E0"/>
    <w:styleLink w:val="WWNum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45B32B0A"/>
    <w:multiLevelType w:val="multilevel"/>
    <w:tmpl w:val="C1624FEA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" w15:restartNumberingAfterBreak="0">
    <w:nsid w:val="58BA1F9A"/>
    <w:multiLevelType w:val="multilevel"/>
    <w:tmpl w:val="10E47EEC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B773B19"/>
    <w:multiLevelType w:val="multilevel"/>
    <w:tmpl w:val="CABAC85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679118072">
    <w:abstractNumId w:val="2"/>
  </w:num>
  <w:num w:numId="2" w16cid:durableId="730347676">
    <w:abstractNumId w:val="1"/>
  </w:num>
  <w:num w:numId="3" w16cid:durableId="1964843118">
    <w:abstractNumId w:val="0"/>
  </w:num>
  <w:num w:numId="4" w16cid:durableId="1641228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E1AA2"/>
    <w:rsid w:val="00186A2E"/>
    <w:rsid w:val="00297736"/>
    <w:rsid w:val="00466212"/>
    <w:rsid w:val="008E1AA2"/>
    <w:rsid w:val="00D6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88B284"/>
  <w15:docId w15:val="{4B5E83ED-F811-2543-A83D-2B8F2033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fr-CH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pPr>
      <w:keepNext/>
      <w:keepLines/>
      <w:spacing w:before="480" w:after="0"/>
      <w:jc w:val="center"/>
      <w:outlineLvl w:val="0"/>
    </w:pPr>
    <w:rPr>
      <w:rFonts w:ascii="Cambria" w:hAnsi="Cambria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e">
    <w:name w:val="List"/>
    <w:basedOn w:val="Textbody"/>
    <w:rPr>
      <w:rFonts w:cs="Arial Unicode MS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  <w:sz w:val="24"/>
    </w:rPr>
  </w:style>
  <w:style w:type="paragraph" w:customStyle="1" w:styleId="HeaderandFooter">
    <w:name w:val="Header and Footer"/>
    <w:basedOn w:val="Standard"/>
  </w:style>
  <w:style w:type="paragraph" w:styleId="En-tt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Standard"/>
    <w:pPr>
      <w:spacing w:after="0" w:line="240" w:lineRule="auto"/>
    </w:pPr>
    <w:rPr>
      <w:rFonts w:ascii="Tahoma" w:eastAsia="Tahoma" w:hAnsi="Tahoma"/>
      <w:sz w:val="16"/>
      <w:szCs w:val="16"/>
    </w:rPr>
  </w:style>
  <w:style w:type="paragraph" w:styleId="Paragraphedeliste">
    <w:name w:val="List Paragraph"/>
    <w:basedOn w:val="Standard"/>
    <w:pPr>
      <w:ind w:left="720"/>
      <w:contextualSpacing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customStyle="1" w:styleId="Titre1Car">
    <w:name w:val="Titre 1 Car"/>
    <w:basedOn w:val="Policepardfaut"/>
    <w:rPr>
      <w:rFonts w:ascii="Cambria" w:eastAsia="Calibri" w:hAnsi="Cambria" w:cs="Tahoma"/>
      <w:b/>
      <w:bCs/>
      <w:sz w:val="28"/>
      <w:szCs w:val="2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NoList">
    <w:name w:val="No List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numbering" w:customStyle="1" w:styleId="WWNum2">
    <w:name w:val="WWNum2"/>
    <w:basedOn w:val="Aucunelist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THEUBET Jean-François</dc:creator>
  <cp:lastModifiedBy>Philippe Glorieux</cp:lastModifiedBy>
  <cp:revision>3</cp:revision>
  <cp:lastPrinted>2016-07-07T05:17:00Z</cp:lastPrinted>
  <dcterms:created xsi:type="dcterms:W3CDTF">2024-06-24T07:33:00Z</dcterms:created>
  <dcterms:modified xsi:type="dcterms:W3CDTF">2024-06-24T07:34:00Z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Etat de Vaud</vt:lpwstr>
  </property>
</Properties>
</file>